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проезд. Заречный, 31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проезд. Заречный, 31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72:23:0110001:676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121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Уровень давления газопровода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353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20602.47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18057.47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2545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22.66 %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72-23-011001-116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10981.57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01.01.1984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59903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№2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59904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№3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59905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№4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59906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№5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59907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ПП-0411Щ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№6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204477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№7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204487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№8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204488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№9 дома по проезд. Заречный, 31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204490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ЛП-0411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Свайный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517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ж/б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1984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>
          <w:b/>
          <w:b/>
          <w:bCs/>
        </w:rPr>
      </w:pPr>
      <w:r>
        <w:rPr>
          <w:b/>
          <w:bCs/>
          <w:sz w:val="20"/>
          <w:szCs w:val="20"/>
        </w:rPr>
        <w:t>Общедомовые приборы учета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2093"/>
        <w:gridCol w:w="1509"/>
        <w:gridCol w:w="1509"/>
        <w:gridCol w:w="1513"/>
        <w:gridCol w:w="1509"/>
        <w:gridCol w:w="1504"/>
      </w:tblGrid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1" w:name="__DdeLink__1426_926797974"/>
            <w:bookmarkEnd w:id="51"/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Прибор учета</w:t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Регистрационный номер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Марка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bookmarkStart w:id="52" w:name="__DdeLink__12766_1816514105"/>
            <w:bookmarkEnd w:id="52"/>
            <w:r>
              <w:rPr>
                <w:sz w:val="20"/>
                <w:szCs w:val="20"/>
              </w:rPr>
              <w:t>Модель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Услуга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Отопление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Холодное водоснабжение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Кол-во тарифных зон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Коэф. трансформации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Ед. изм.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опромбировки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Номер пломбы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установки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ввода в эксплуатацию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18.12.2014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05.04.2013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Исправность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Исправен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Дата первичной поверки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Межповерочный интервал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Дистанц. Передача показаний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Есть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температуры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209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sz w:val="20"/>
                <w:szCs w:val="20"/>
              </w:rPr>
              <w:t>Датчики давления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  <w:tc>
          <w:tcPr>
            <w:tcW w:w="150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color w:val="000000"/>
          <w:sz w:val="20"/>
          <w:szCs w:val="20"/>
        </w:rPr>
        <w:t/>
      </w:r>
      <w:r>
        <w:rPr>
          <w:rFonts w:cs="Times New Roman"/>
          <w:color w:val="000000"/>
          <w:sz w:val="20"/>
          <w:szCs w:val="20"/>
          <w:lang w:val="en-US"/>
        </w:rPr>
        <w:t xml:space="preserve"/>
      </w:r>
      <w:r>
        <w:rPr>
          <w:color w:val="000000"/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